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公司党建活动室更换大屏、大会议室全彩LED显示屏采购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公司党建活动室更换大屏、大会议室全彩LED显示屏采购项目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493"/>
        <w:gridCol w:w="2600"/>
        <w:gridCol w:w="913"/>
        <w:gridCol w:w="937"/>
        <w:gridCol w:w="23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室内P2.0全彩高清LED显示屏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室内高清工程一级灯珠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SMD2.0-160*320mm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包含信号接收卡1套（增强型系列）、信号发送卡1套（增强型集成发送）、LED播放软件1套（LED PLAY演播室）、辅助线材1项（长排线/网线/配套线材）【大会议室】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播放盒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淡入淡出/多信号输入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屏体结构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型材方钢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室内P1.53全彩高清LED显示屏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室内高清工程一级灯珠SMD1.53-160*320mm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包含信号接收卡（增强型系列）、LED播放软件（LED PLAY演播室）、辅助线材（长排线/网线/配套线材）、内置信号发送卡（增强型集成发送）【党建活动室】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处理器系统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淡入淡出/多信号输入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屏体结构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榫卯结构（含不锈钢包边）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2只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无线投屏器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合同签订后10日内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5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bookmarkStart w:id="5" w:name="_GoBack"/>
      <w:r>
        <w:rPr>
          <w:rFonts w:hint="eastAsia" w:ascii="宋体" w:hAnsi="宋体" w:cs="宋体"/>
          <w:sz w:val="24"/>
          <w:lang w:val="en-US" w:eastAsia="zh-CN"/>
        </w:rPr>
        <w:t>64952.00</w:t>
      </w:r>
      <w:bookmarkEnd w:id="5"/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董先生          电话：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15252821921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37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000000"/>
    <w:rsid w:val="018023C4"/>
    <w:rsid w:val="17F51BB0"/>
    <w:rsid w:val="38C42E95"/>
    <w:rsid w:val="46C3077F"/>
    <w:rsid w:val="4FE77BE7"/>
    <w:rsid w:val="63794272"/>
    <w:rsid w:val="676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99"/>
    <w:rPr>
      <w:rFonts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3023</Words>
  <Characters>3304</Characters>
  <Lines>0</Lines>
  <Paragraphs>0</Paragraphs>
  <TotalTime>33</TotalTime>
  <ScaleCrop>false</ScaleCrop>
  <LinksUpToDate>false</LinksUpToDate>
  <CharactersWithSpaces>3817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2023-04-04T05:59:00Z</dcterms:created>
  <dc:creator>Administrator</dc:creator>
  <cp:lastModifiedBy>木木</cp:lastModifiedBy>
  <cp:lastPrinted>2023-04-23T07:53:23Z</cp:lastPrinted>
  <dcterms:modified xsi:type="dcterms:W3CDTF">2023-04-23T07:56:11Z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0515B57F075448968FDDFB3A95C0B804_12</vt:lpwstr>
  </property>
</Properties>
</file>